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81A44">
        <w:tc>
          <w:tcPr>
            <w:tcW w:w="5210" w:type="dxa"/>
          </w:tcPr>
          <w:p w:rsidR="00081A44" w:rsidRDefault="00081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1A44" w:rsidRDefault="003A6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081A44">
        <w:tc>
          <w:tcPr>
            <w:tcW w:w="5210" w:type="dxa"/>
          </w:tcPr>
          <w:p w:rsidR="00081A44" w:rsidRDefault="00081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1A44" w:rsidRDefault="00081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A44" w:rsidRDefault="00535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3A60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081A44" w:rsidRDefault="003A6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A44" w:rsidRDefault="003A6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081A44" w:rsidRDefault="00081A44">
      <w:pPr>
        <w:rPr>
          <w:rFonts w:ascii="Times New Roman" w:hAnsi="Times New Roman" w:cs="Times New Roman"/>
          <w:sz w:val="28"/>
          <w:szCs w:val="28"/>
        </w:rPr>
      </w:pPr>
    </w:p>
    <w:p w:rsidR="00081A44" w:rsidRDefault="003A60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081A44" w:rsidRDefault="003A60B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Северо-Западном управлении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осуществлении федерального государственного надзора в области безопасности гидротехнических сооружений за </w:t>
      </w:r>
      <w:r w:rsidR="00D06D9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1A44" w:rsidRDefault="00081A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A44" w:rsidRDefault="00081A44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081A44" w:rsidRDefault="003A60B5" w:rsidP="0053564D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81A44" w:rsidRDefault="00081A44">
      <w:pPr>
        <w:spacing w:after="0"/>
        <w:ind w:firstLine="709"/>
        <w:rPr>
          <w:rFonts w:ascii="Times New Roman" w:eastAsia="Calibri" w:hAnsi="Times New Roman" w:cs="Times New Roman"/>
          <w:lang w:eastAsia="ru-RU"/>
        </w:rPr>
      </w:pP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Настоящий доклад о правоприменительной практике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3564D" w:rsidRPr="0053564D">
        <w:rPr>
          <w:rFonts w:ascii="Times New Roman" w:hAnsi="Times New Roman" w:cs="Times New Roman"/>
          <w:sz w:val="28"/>
          <w:szCs w:val="28"/>
        </w:rPr>
        <w:t xml:space="preserve">контрольной (надзорной) деятельности в </w:t>
      </w:r>
      <w:r w:rsidRPr="005356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федерального государственного надзора в области безопасности гидротехнических сооружений за 202</w:t>
      </w:r>
      <w:r w:rsidR="0053564D" w:rsidRP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53564D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 положений Федерального закона от 31</w:t>
      </w:r>
      <w:r w:rsidR="0053564D" w:rsidRPr="0053564D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>07.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2020 № 248-ФЗ 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30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>.06.2021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1080 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 атомному надзору от 23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>.08.2023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</w:t>
      </w:r>
      <w:r w:rsidR="002D6BB5">
        <w:rPr>
          <w:rFonts w:ascii="Times New Roman" w:eastAsia="Calibri" w:hAnsi="Times New Roman" w:cs="Times New Roman"/>
          <w:sz w:val="28"/>
          <w:szCs w:val="28"/>
          <w:lang w:bidi="ru-RU"/>
        </w:rPr>
        <w:t>ичных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нарушений обязательных требований, причин, факторов 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условий, способствующих возникновению нарушений;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081A44" w:rsidRDefault="003A60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</w:t>
      </w:r>
      <w:r w:rsidR="0053564D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081A44" w:rsidRDefault="003A60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081A44" w:rsidRPr="00D06D99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.07.2020</w:t>
      </w:r>
      <w:r w:rsidRP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081A44" w:rsidRPr="00D06D99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.07.</w:t>
      </w:r>
      <w:r w:rsidRP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1997 № 117-ФЗ «О безопасности гидротехнических сооружений»;</w:t>
      </w:r>
    </w:p>
    <w:p w:rsidR="00081A44" w:rsidRDefault="003A60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сооружений, утвержде</w:t>
      </w:r>
      <w:r w:rsidRP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постановлением Правительства Российской Федерации от 30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 w:rsidRP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1080.</w:t>
      </w:r>
    </w:p>
    <w:p w:rsidR="00081A44" w:rsidRDefault="003A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Северо-Западном управлении Федеральной службы по экологическому, технологическому и атомному надзору, 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282,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1080, за 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закреплены функции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федерального государственного надзора в области безопасности гидротехнических сооружений (за исключением судоходных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портовых гидротехнических сооружений) (далее – ГТС).</w:t>
      </w:r>
    </w:p>
    <w:p w:rsidR="00081A44" w:rsidRDefault="003A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поднадзорных Северо-Западному управлению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составляет 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081A44" w:rsidRDefault="00D06D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081A44" w:rsidRDefault="00D06D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>) энергетики;</w:t>
      </w:r>
    </w:p>
    <w:p w:rsidR="00081A44" w:rsidRDefault="00D06D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:rsidR="00081A44" w:rsidRDefault="003A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поднадзорных организаций, эксплуатирующих гидротехнические сооружения, составило 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A44" w:rsidRDefault="003A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аварий на поднадзорных объе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ктах не зарегистрировано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не зарегистрировано).</w:t>
      </w:r>
    </w:p>
    <w:p w:rsidR="00081A44" w:rsidRDefault="003A60B5" w:rsidP="00D06D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 w:rsidR="00D06D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управлением</w:t>
      </w:r>
      <w:r w:rsidR="00D06D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6D99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D06D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утверждено </w:t>
      </w:r>
      <w:r w:rsidR="0053564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D06D99">
        <w:rPr>
          <w:rFonts w:ascii="Times New Roman" w:eastAsia="Calibri" w:hAnsi="Times New Roman" w:cs="Times New Roman"/>
          <w:sz w:val="28"/>
          <w:szCs w:val="28"/>
          <w:lang w:eastAsia="ru-RU"/>
        </w:rPr>
        <w:t>49 деклараций безопасности ГТС.</w:t>
      </w:r>
    </w:p>
    <w:p w:rsidR="00081A44" w:rsidRDefault="00D06D9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том требований постановления Правительства Российской Федерации от 10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.03.2022 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336 «Об особенностях организации и осуществления государственного контроля (надзора), муниципального контроля» Северо-Западным управлением </w:t>
      </w:r>
      <w:proofErr w:type="spellStart"/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8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8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3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5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081A44" w:rsidRDefault="00D06D9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Всего в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мероприятий по контролю организации безопасной эксплуатации и безопасного состояния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гидротехнических сооружений,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том числе 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осуществление которых инициируются обращением заявителя, выступающего </w:t>
      </w:r>
      <w:r w:rsidR="0053564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качестве объекта контроля (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регулярные обследования ГТС),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рамках проверок иных контролирующих органов с привлечением представителей территориальных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2025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проведено </w:t>
      </w:r>
      <w:r w:rsidR="0053564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275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(в 2024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149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</w:t>
      </w:r>
      <w:r w:rsidR="003A60B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081A44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режима постоянного государственного надзора проведено 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действий 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06D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59</w:t>
      </w:r>
      <w:r w:rsidR="005356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1A44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51 административное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Административные приостановления деятельности и временные запреты деятельности не применялись.</w:t>
      </w:r>
    </w:p>
    <w:p w:rsidR="00081A44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безопасности гидротехнических сооружений наложено 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29 административных штрафов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общая сумма которых составила 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тыс.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рублей.</w:t>
      </w:r>
    </w:p>
    <w:p w:rsidR="00081A44" w:rsidRDefault="003A60B5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проверок 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зарегистрировано. </w:t>
      </w:r>
    </w:p>
    <w:p w:rsidR="00081A44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(надзорных) мероприятий </w:t>
      </w:r>
      <w:r w:rsidR="005A09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соблюдены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81A44" w:rsidRDefault="003A60B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</w:t>
      </w:r>
      <w:r w:rsidR="003630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ичным</w:t>
      </w:r>
      <w:bookmarkStart w:id="0" w:name="_GoBack"/>
      <w:bookmarkEnd w:id="0"/>
      <w:r w:rsidR="00AD4C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нарушениям обязательных требований в области безопасности гидротехнических сооружений следует отнести: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утвержд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нной декларации безопасности ГТС;</w:t>
      </w:r>
    </w:p>
    <w:p w:rsidR="005A0977" w:rsidRPr="005A0977" w:rsidRDefault="00AD4CDE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расче</w:t>
      </w:r>
      <w:r w:rsidR="005A0977"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та размера вероятного вреда, который может быть причин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A0977"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жизни, здоровью физических лиц, имуществу физических и юридических лиц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A0977"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аварии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не осуществляется разработка и уточнение критериев безопасности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не определяется величина финансового обеспечения гражданской ответственности за вред, который может быть причин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 жизни, здоровью физических лиц, имуществу физических и юридических лиц в результате аварии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не обеспечивается надлежащее техническое обслуживание, эксплуатационный контроль и текущий ремонт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отсутствие контроля (мониторинга) показателей состояния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обеспечивается проведение комплексного обследования ГТС с оценкой 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их прочности и устойчивости;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проводится комплексное обследование сооружений с оценкой 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их прочности, над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жности, устойчивости и эксплуатационной над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жности;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недостаточное оснащение техническими и материальными средствами 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для осуществления мероприятий по спасению людей, локализации и ликвидации аварий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не обеспечивается контроль (мониторинг) показателей состояния ГТС;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пьезометрах, реперах плотин гидротехнических сооружений отсутствуют комплектующие элементы; </w:t>
      </w:r>
    </w:p>
    <w:p w:rsidR="005A0977" w:rsidRP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коррозия металлических конструкций механического оборудования ГТС, разрушение антикоррозийной защиты, отсутствие эффективного контроля </w:t>
      </w:r>
      <w:r w:rsidR="00AD4CD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над </w:t>
      </w: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эффективностью антикоррозийной защиты;</w:t>
      </w:r>
    </w:p>
    <w:p w:rsid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ГТС не внесены в Российский регистр гидротехнических сооружений.</w:t>
      </w:r>
    </w:p>
    <w:p w:rsidR="005A0977" w:rsidRDefault="005A0977" w:rsidP="005A0977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работа по актуализации обязательных требований в области безопасности гидротехнических сооружений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проводилась.</w:t>
      </w:r>
    </w:p>
    <w:p w:rsidR="00081A44" w:rsidRDefault="003A60B5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безопасности гидротехнических сооружений не выявлено.</w:t>
      </w:r>
    </w:p>
    <w:p w:rsidR="005A0977" w:rsidRDefault="005A0977" w:rsidP="005A09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показателей результативности 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 на 2025 год, утвержде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390, в 2025 году на постоянной основе реализовывались следующие мероприятия:</w:t>
      </w:r>
    </w:p>
    <w:p w:rsidR="005A0977" w:rsidRDefault="005A0977" w:rsidP="005A09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62 предостережения о недопустимости нарушений обязательных требований в области безопасности гидротехнических сооружений;</w:t>
      </w:r>
    </w:p>
    <w:p w:rsidR="00081A44" w:rsidRPr="005A0977" w:rsidRDefault="003A60B5" w:rsidP="005A09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AD4CDE">
        <w:rPr>
          <w:rFonts w:ascii="Times New Roman" w:eastAsia="Calibri" w:hAnsi="Times New Roman" w:cs="Times New Roman"/>
          <w:sz w:val="28"/>
          <w:szCs w:val="28"/>
        </w:rPr>
        <w:t xml:space="preserve">ено </w:t>
      </w:r>
      <w:r>
        <w:rPr>
          <w:rFonts w:ascii="Times New Roman" w:eastAsia="Calibri" w:hAnsi="Times New Roman" w:cs="Times New Roman"/>
          <w:sz w:val="28"/>
          <w:szCs w:val="28"/>
        </w:rPr>
        <w:t>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081A44" w:rsidRDefault="003A60B5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Северо-Западного 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обеспечен доступ к открытым данным, содержащимся </w:t>
      </w:r>
      <w:r w:rsidR="00AD4CD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:rsidR="00081A44" w:rsidRDefault="00AD4CDE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</w:t>
      </w:r>
      <w:r w:rsidR="003A60B5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ена</w:t>
      </w:r>
      <w:r w:rsidR="003A60B5">
        <w:rPr>
          <w:rFonts w:ascii="Times New Roman" w:eastAsia="Calibri" w:hAnsi="Times New Roman" w:cs="Times New Roman"/>
          <w:sz w:val="28"/>
          <w:szCs w:val="28"/>
        </w:rPr>
        <w:t xml:space="preserve"> работа по консультированию поднадзорных предприятий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A60B5">
        <w:rPr>
          <w:rFonts w:ascii="Times New Roman" w:eastAsia="Calibri" w:hAnsi="Times New Roman" w:cs="Times New Roman"/>
          <w:sz w:val="28"/>
          <w:szCs w:val="28"/>
        </w:rPr>
        <w:lastRenderedPageBreak/>
        <w:t>по вопросам, касающимся соблюдения требований безопасности при эксплуатации опасных объектов;</w:t>
      </w:r>
    </w:p>
    <w:p w:rsidR="00081A44" w:rsidRDefault="003A60B5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>
        <w:rPr>
          <w:rFonts w:ascii="Times New Roman" w:eastAsia="Calibri" w:hAnsi="Times New Roman" w:cs="Times New Roman"/>
          <w:sz w:val="28"/>
          <w:szCs w:val="28"/>
        </w:rPr>
        <w:br/>
        <w:t>на внедрение и обеспечение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от юридических лиц и индивидуальных предпринимателей, эксплуатирующих гидротехнические сооружения, с целью проведения оценки добросовестности, предусматривающей оценку соответствия организации, эксплуатирующей гидротехнические сооружения, критериям добросовестности, не поступало.</w:t>
      </w:r>
    </w:p>
    <w:p w:rsidR="00081A44" w:rsidRDefault="00AD4CD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.05.2006 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направления ответов в письменном или электронном виде, тематика которых касалась:</w:t>
      </w:r>
      <w:proofErr w:type="gramEnd"/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нормативных правовых актов;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государственных услуг;</w:t>
      </w:r>
    </w:p>
    <w:p w:rsid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декларирования безопасности гидротехнического сооружения.</w:t>
      </w:r>
    </w:p>
    <w:p w:rsidR="00081A44" w:rsidRDefault="003A60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ГТС в собственности физических лиц, не обладающих знаниями 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безопасности ГТС;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ГТС в собственности органов муниципального самоуправления;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A0977" w:rsidRPr="005A0977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повышение эффективности контрольной (надзорной) деятельности;</w:t>
      </w:r>
    </w:p>
    <w:p w:rsidR="00AD4CDE" w:rsidRDefault="005A0977" w:rsidP="005A097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ГТС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отработанным нормативным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0977" w:rsidRDefault="005A0977" w:rsidP="00727BB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финансирования мероприятий по проведению капитального ремонта и (или) реконструкции ГТС, а также на консервацию и (или) ликвидацию ГТС сооружения утрачивают свою над</w:t>
      </w:r>
      <w:r w:rsidR="00AD4C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0977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жность.</w:t>
      </w:r>
    </w:p>
    <w:p w:rsidR="00081A44" w:rsidRDefault="003A60B5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7BB2" w:rsidRPr="00727BB2" w:rsidRDefault="00727BB2" w:rsidP="00727BB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</w:t>
      </w:r>
      <w:r w:rsidRPr="00727B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727BB2" w:rsidRPr="00727BB2" w:rsidRDefault="00727BB2" w:rsidP="00727BB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Российской Федерации;</w:t>
      </w:r>
    </w:p>
    <w:p w:rsidR="00081A44" w:rsidRDefault="00727BB2" w:rsidP="00727BB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безопасности гидротехнических сооружений.</w:t>
      </w:r>
    </w:p>
    <w:sectPr w:rsidR="00081A44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4D" w:rsidRDefault="0053564D">
      <w:pPr>
        <w:spacing w:after="0" w:line="240" w:lineRule="auto"/>
      </w:pPr>
      <w:r>
        <w:separator/>
      </w:r>
    </w:p>
  </w:endnote>
  <w:endnote w:type="continuationSeparator" w:id="0">
    <w:p w:rsidR="0053564D" w:rsidRDefault="0053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4D" w:rsidRDefault="0053564D">
      <w:pPr>
        <w:spacing w:after="0" w:line="240" w:lineRule="auto"/>
      </w:pPr>
      <w:r>
        <w:separator/>
      </w:r>
    </w:p>
  </w:footnote>
  <w:footnote w:type="continuationSeparator" w:id="0">
    <w:p w:rsidR="0053564D" w:rsidRDefault="0053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EndPr/>
    <w:sdtContent>
      <w:p w:rsidR="0053564D" w:rsidRDefault="0053564D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03E">
          <w:rPr>
            <w:noProof/>
          </w:rPr>
          <w:t>3</w:t>
        </w:r>
        <w:r>
          <w:fldChar w:fldCharType="end"/>
        </w:r>
      </w:p>
    </w:sdtContent>
  </w:sdt>
  <w:p w:rsidR="0053564D" w:rsidRDefault="0053564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EAD"/>
    <w:multiLevelType w:val="multilevel"/>
    <w:tmpl w:val="6008693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265787"/>
    <w:multiLevelType w:val="multilevel"/>
    <w:tmpl w:val="4308DE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FB2602"/>
    <w:multiLevelType w:val="multilevel"/>
    <w:tmpl w:val="9C4A56C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5B2960"/>
    <w:multiLevelType w:val="multilevel"/>
    <w:tmpl w:val="FFDAE7B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435CF7"/>
    <w:multiLevelType w:val="multilevel"/>
    <w:tmpl w:val="7AE40A2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E306E8"/>
    <w:multiLevelType w:val="multilevel"/>
    <w:tmpl w:val="5290C03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D3FC9"/>
    <w:multiLevelType w:val="multilevel"/>
    <w:tmpl w:val="758020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12BB9"/>
    <w:multiLevelType w:val="multilevel"/>
    <w:tmpl w:val="16D40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20DA7"/>
    <w:multiLevelType w:val="multilevel"/>
    <w:tmpl w:val="D0FAB08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420AD5"/>
    <w:multiLevelType w:val="multilevel"/>
    <w:tmpl w:val="5B22A3D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0D0044"/>
    <w:multiLevelType w:val="multilevel"/>
    <w:tmpl w:val="DC82F3D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5147BB"/>
    <w:multiLevelType w:val="multilevel"/>
    <w:tmpl w:val="3954A9F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8854CE"/>
    <w:multiLevelType w:val="multilevel"/>
    <w:tmpl w:val="73A4DDDE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44"/>
    <w:rsid w:val="00081A44"/>
    <w:rsid w:val="002D6BB5"/>
    <w:rsid w:val="0036303E"/>
    <w:rsid w:val="003A60B5"/>
    <w:rsid w:val="0053564D"/>
    <w:rsid w:val="005A0977"/>
    <w:rsid w:val="00727BB2"/>
    <w:rsid w:val="00AD4CDE"/>
    <w:rsid w:val="00D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29</cp:revision>
  <dcterms:created xsi:type="dcterms:W3CDTF">2025-02-04T06:07:00Z</dcterms:created>
  <dcterms:modified xsi:type="dcterms:W3CDTF">2026-01-30T06:30:00Z</dcterms:modified>
</cp:coreProperties>
</file>